
<file path=[Content_Types].xml><?xml version="1.0" encoding="utf-8"?>
<Types xmlns="http://schemas.openxmlformats.org/package/2006/content-types">
  <Default Extension="xml" ContentType="application/xml"/>
  <Default Extension="ttf" ContentType="application/x-font-ttf"/>
  <Default Extension="png" ContentType="image/png"/>
  <Default Extension="rels" ContentType="application/vnd.openxmlformats-package.relationships+xml"/>
  <Default Extension="psmdcp" ContentType="application/vnd.openxmlformats-package.core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1.xml" ContentType="application/vnd.openxmlformats-officedocument.wordprocessingml.head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Relationship Type="http://schemas.openxmlformats.org/package/2006/relationships/metadata/core-properties" Target="/package/services/metadata/core-properties/cbff15387b9d43a9b92ec2bd9d1649ec.psmdcp" Id="Rf885906022c74cb9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Pr="00000000" w:rsidR="00000000" w:rsidDel="00000000" w:rsidP="00000000" w:rsidRDefault="00000000" w14:paraId="00000001">
      <w:pPr>
        <w:pStyle w:val="Heading2"/>
        <w:rPr>
          <w:color w:val="e10000"/>
        </w:rPr>
      </w:pPr>
      <w:bookmarkStart w:name="_m5g3g1k9id31" w:colFirst="0" w:colLast="0" w:id="0"/>
      <w:bookmarkEnd w:id="0"/>
      <w:r w:rsidRPr="00000000" w:rsidDel="00000000" w:rsidR="00000000">
        <w:rPr>
          <w:color w:val="e10000"/>
          <w:rtl w:val="0"/>
        </w:rPr>
        <w:t xml:space="preserve">Produkt-Roadmap - Quiz zur Erstellung der Roadmap für Ihr Produkt</w:t>
      </w:r>
    </w:p>
    <w:p w:rsidRPr="00000000" w:rsidR="00000000" w:rsidDel="00000000" w:rsidP="00000000" w:rsidRDefault="00000000" w14:paraId="00000002">
      <w:pPr>
        <w:rPr/>
      </w:pPr>
    </w:p>
    <w:p w:rsidRPr="00000000" w:rsidR="00000000" w:rsidDel="00000000" w:rsidP="00000000" w:rsidRDefault="00000000" w14:paraId="00000003">
      <w:pPr>
        <w:ind w:start="0" w:firstLine="0"/>
        <w:rPr/>
      </w:pPr>
      <w:r w:rsidRPr="00000000" w:rsidDel="00000000" w:rsidR="00000000">
        <w:rPr>
          <w:rtl w:val="0"/>
        </w:rPr>
        <w:t xml:space="preserve">Welcher der folgenden Punkte muss in Ihrem Produktfahrplan enthalten sein?</w:t>
      </w:r>
    </w:p>
    <w:p w:rsidRPr="00000000" w:rsidR="00000000" w:rsidDel="00000000" w:rsidP="00000000" w:rsidRDefault="00000000" w14:paraId="00000004">
      <w:pPr>
        <w:numPr>
          <w:ilvl w:val="0"/>
          <w:numId w:val="2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Hohes Niveau und richtungsweisend</w:t>
      </w:r>
    </w:p>
    <w:p w:rsidRPr="00000000" w:rsidR="00000000" w:rsidDel="00000000" w:rsidP="00000000" w:rsidRDefault="00000000" w14:paraId="00000005">
      <w:pPr>
        <w:numPr>
          <w:ilvl w:val="0"/>
          <w:numId w:val="2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Öffentlich und für Kunden zugänglich</w:t>
      </w:r>
    </w:p>
    <w:p w:rsidRPr="00000000" w:rsidR="00000000" w:rsidDel="00000000" w:rsidP="00000000" w:rsidRDefault="00000000" w14:paraId="00000006">
      <w:pPr>
        <w:numPr>
          <w:ilvl w:val="0"/>
          <w:numId w:val="2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Iterativ auf der Grundlage von Feedback</w:t>
      </w:r>
    </w:p>
    <w:p w:rsidRPr="00000000" w:rsidR="00000000" w:rsidDel="00000000" w:rsidP="00000000" w:rsidRDefault="00000000" w14:paraId="00000007">
      <w:pPr>
        <w:numPr>
          <w:ilvl w:val="0"/>
          <w:numId w:val="2"/>
        </w:numPr>
        <w:ind w:start="720" w:hanging="360"/>
        <w:rPr>
          <w:highlight w:val="yellow"/>
        </w:rPr>
      </w:pPr>
      <w:r w:rsidRPr="00000000" w:rsidDel="00000000" w:rsidR="00000000">
        <w:rPr>
          <w:highlight w:val="yellow"/>
          <w:rtl w:val="0"/>
        </w:rPr>
        <w:t xml:space="preserve">Sowohl #1 als auch #3</w:t>
      </w:r>
    </w:p>
    <w:p w:rsidRPr="00000000" w:rsidR="00000000" w:rsidDel="00000000" w:rsidP="00000000" w:rsidRDefault="00000000" w14:paraId="00000008">
      <w:pPr>
        <w:ind w:start="0" w:firstLine="0"/>
        <w:rPr/>
      </w:pPr>
    </w:p>
    <w:p w:rsidRPr="00000000" w:rsidR="00000000" w:rsidDel="00000000" w:rsidP="00000000" w:rsidRDefault="00000000" w14:paraId="00000009">
      <w:pPr>
        <w:ind w:start="0" w:firstLine="0"/>
        <w:rPr/>
      </w:pPr>
      <w:r w:rsidRPr="00000000" w:rsidDel="00000000" w:rsidR="00000000">
        <w:rPr>
          <w:rtl w:val="0"/>
        </w:rPr>
        <w:t xml:space="preserve">Wie können Sie als Startup in der Anfangsphase am besten Prioritäten für Ihre Produkt-Roadmap setzen?</w:t>
      </w:r>
    </w:p>
    <w:p w:rsidRPr="00000000" w:rsidR="00000000" w:rsidDel="00000000" w:rsidP="00000000" w:rsidRDefault="00000000" w14:paraId="0000000A">
      <w:pPr>
        <w:numPr>
          <w:ilvl w:val="0"/>
          <w:numId w:val="1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Erste, zweite, dritte</w:t>
      </w:r>
    </w:p>
    <w:p w:rsidRPr="00000000" w:rsidR="00000000" w:rsidDel="00000000" w:rsidP="00000000" w:rsidRDefault="00000000" w14:paraId="0000000B">
      <w:pPr>
        <w:numPr>
          <w:ilvl w:val="0"/>
          <w:numId w:val="1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Konkrete, klare Termine und Fristen</w:t>
      </w:r>
    </w:p>
    <w:p w:rsidRPr="00000000" w:rsidR="00000000" w:rsidDel="00000000" w:rsidP="00000000" w:rsidRDefault="00000000" w14:paraId="0000000C">
      <w:pPr>
        <w:numPr>
          <w:ilvl w:val="0"/>
          <w:numId w:val="1"/>
        </w:numPr>
        <w:ind w:start="720" w:hanging="360"/>
        <w:rPr>
          <w:highlight w:val="yellow"/>
        </w:rPr>
      </w:pPr>
      <w:r w:rsidRPr="00000000" w:rsidDel="00000000" w:rsidR="00000000">
        <w:rPr>
          <w:highlight w:val="yellow"/>
          <w:rtl w:val="0"/>
        </w:rPr>
        <w:t xml:space="preserve">Jetzt, demnächst, später</w:t>
      </w:r>
    </w:p>
    <w:p w:rsidRPr="00000000" w:rsidR="00000000" w:rsidDel="00000000" w:rsidP="00000000" w:rsidRDefault="00000000" w14:paraId="0000000D">
      <w:pPr>
        <w:numPr>
          <w:ilvl w:val="0"/>
          <w:numId w:val="1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Keiner der oben genannten Punkte</w:t>
      </w:r>
    </w:p>
    <w:p w:rsidRPr="00000000" w:rsidR="00000000" w:rsidDel="00000000" w:rsidP="00000000" w:rsidRDefault="00000000" w14:paraId="0000000E">
      <w:pPr>
        <w:rPr/>
      </w:pPr>
    </w:p>
    <w:p w:rsidRPr="00000000" w:rsidR="00000000" w:rsidDel="00000000" w:rsidP="00000000" w:rsidRDefault="00000000" w14:paraId="0000000F">
      <w:pPr>
        <w:rPr/>
      </w:pPr>
      <w:r w:rsidRPr="00000000" w:rsidDel="00000000" w:rsidR="00000000">
        <w:rPr>
          <w:rtl w:val="0"/>
        </w:rPr>
        <w:t xml:space="preserve">Welche der folgenden Punkte sollte Ihr Produktfahrplan in der Anfangsphase enthalten?</w:t>
      </w:r>
    </w:p>
    <w:p w:rsidRPr="00000000" w:rsidR="00000000" w:rsidDel="00000000" w:rsidP="00000000" w:rsidRDefault="00000000" w14:paraId="00000010">
      <w:pPr>
        <w:numPr>
          <w:ilvl w:val="0"/>
          <w:numId w:val="3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Extreme Ausführlichkeit, um Unklarheiten zu vermeiden</w:t>
      </w:r>
    </w:p>
    <w:p w:rsidRPr="00000000" w:rsidR="00000000" w:rsidDel="00000000" w:rsidP="00000000" w:rsidRDefault="00000000" w14:paraId="00000011">
      <w:pPr>
        <w:numPr>
          <w:ilvl w:val="0"/>
          <w:numId w:val="3"/>
        </w:numPr>
        <w:ind w:start="720" w:hanging="360"/>
        <w:rPr>
          <w:highlight w:val="yellow"/>
        </w:rPr>
      </w:pPr>
      <w:r w:rsidRPr="00000000" w:rsidDel="00000000" w:rsidR="00000000">
        <w:rPr>
          <w:highlight w:val="yellow"/>
          <w:rtl w:val="0"/>
        </w:rPr>
        <w:t xml:space="preserve">Produktfunktionalitäten auf hohem Niveau zur Orientierung</w:t>
      </w:r>
    </w:p>
    <w:p w:rsidRPr="00000000" w:rsidR="00000000" w:rsidDel="00000000" w:rsidP="00000000" w:rsidRDefault="00000000" w14:paraId="00000012">
      <w:pPr>
        <w:numPr>
          <w:ilvl w:val="0"/>
          <w:numId w:val="3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Genaue Produkt- und Funktionsspezifikationen</w:t>
      </w:r>
    </w:p>
    <w:p w:rsidRPr="00000000" w:rsidR="00000000" w:rsidDel="00000000" w:rsidP="00000000" w:rsidRDefault="00000000" w14:paraId="00000013">
      <w:pPr>
        <w:numPr>
          <w:ilvl w:val="0"/>
          <w:numId w:val="3"/>
        </w:numPr>
        <w:ind w:start="720" w:hanging="360"/>
        <w:rPr>
          <w:u w:val="none"/>
        </w:rPr>
      </w:pPr>
      <w:r w:rsidRPr="00000000" w:rsidDel="00000000" w:rsidR="00000000">
        <w:rPr>
          <w:rtl w:val="0"/>
        </w:rPr>
        <w:t xml:space="preserve">Sowohl #1 als auch #3</w:t>
      </w:r>
    </w:p>
    <w:p w:rsidRPr="00000000" w:rsidR="00000000" w:rsidDel="00000000" w:rsidP="00000000" w:rsidRDefault="00000000" w14:paraId="00000014">
      <w:pPr>
        <w:rPr/>
      </w:pPr>
    </w:p>
    <w:p w:rsidRPr="00000000" w:rsidR="00000000" w:rsidDel="00000000" w:rsidP="00000000" w:rsidRDefault="00000000" w14:paraId="00000015">
      <w:pPr>
        <w:rPr/>
      </w:pPr>
    </w:p>
    <w:sectPr>
      <w:headerReference w:type="default" r:id="rId6"/>
      <w:headerReference w:type="first" r:id="rId7"/>
      <w:footerReference w:type="default" r:id="rId8"/>
      <w:footerReference w:type="first" r:id="rId9"/>
      <w:pgSz w:w="12240" w:h="15840" w:orient="portrait"/>
      <w:pgMar w:top="1440" w:right="1440" w:bottom="1440" w:left="1440" w:header="863.9999999999999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Helvetica Neue Ligh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Pr="00000000" w:rsidR="00000000" w:rsidDel="00000000" w:rsidP="00000000" w:rsidRDefault="00000000" w14:paraId="00000018">
    <w:pPr>
      <w:rPr/>
    </w:pPr>
  </w:p>
  <w:p w:rsidRPr="00000000" w:rsidR="00000000" w:rsidDel="00000000" w:rsidP="00000000" w:rsidRDefault="00000000" w14:paraId="00000019">
    <w:pPr>
      <w:rPr/>
    </w:pPr>
  </w:p>
  <w:tbl>
    <w:tblPr>
      <w:tblStyle w:val="Table1"/>
      <w:tblW w:w="9360.0" w:type="dxa"/>
      <w:jc w:val="left"/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  <w:tblLayout w:type="fixed"/>
      <w:tblLook w:val="0600"/>
    </w:tblPr>
    <w:tblGrid>
      <w:gridCol w:w="3120"/>
      <w:gridCol w:w="3120"/>
      <w:gridCol w:w="3120"/>
      <w:tblGridChange w:id="0">
        <w:tblGrid>
          <w:gridCol w:w="3120"/>
          <w:gridCol w:w="3120"/>
          <w:gridCol w:w="3120"/>
        </w:tblGrid>
      </w:tblGridChange>
    </w:tblGrid>
    <w:tr>
      <w:trPr>
        <w:cantSplit w:val="0"/>
        <w:tblHeader w:val="0"/>
      </w:trPr>
      <w:tc>
        <w:tcPr>
          <w:tcBorders>
            <w:top w:val="nil" w:color="000000" w:sz="0" w:space="0"/>
            <w:left w:val="nil" w:color="000000" w:sz="0" w:space="0"/>
            <w:bottom w:val="nil" w:color="000000" w:sz="0" w:space="0"/>
            <w:right w:val="nil" w:color="000000" w:sz="0" w:space="0"/>
          </w:tcBorders>
          <w:shd w:val="clear" w:fill="auto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Pr="00000000" w:rsidR="00000000" w:rsidDel="00000000" w:rsidP="00000000" w:rsidRDefault="00000000" w14:paraId="0000001A">
          <w:pPr>
            <w:rPr/>
          </w:pPr>
          <w:r w:rsidRPr="00000000" w:rsidDel="00000000" w:rsidR="00000000">
            <w:rPr/>
            <w:drawing>
              <wp:inline distT="19050" distB="19050" distL="19050" distR="19050">
                <wp:extent cx="956675" cy="213625"/>
                <wp:effectExtent l="0" t="0" r="0" b="0"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"/>
                        <a:srcRect l="0" t="0" r="0" b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6675" cy="2136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Borders>
            <w:top w:val="nil" w:color="000000" w:sz="0" w:space="0"/>
            <w:left w:val="nil" w:color="000000" w:sz="0" w:space="0"/>
            <w:bottom w:val="nil" w:color="000000" w:sz="0" w:space="0"/>
            <w:right w:val="nil" w:color="000000" w:sz="0" w:space="0"/>
          </w:tcBorders>
          <w:shd w:val="clear" w:fill="auto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Pr="00000000" w:rsidR="00000000" w:rsidDel="00000000" w:rsidP="00000000" w:rsidRDefault="00000000" w14:paraId="0000001B">
          <w:pPr>
            <w:jc w:val="center"/>
            <w:rPr/>
          </w:pPr>
          <w:r w:rsidRPr="00000000" w:rsidDel="00000000" w:rsidR="00000000">
            <w:rPr/>
            <w:fldChar w:fldCharType="begin"/>
          </w:r>
          <w:r w:rsidRPr="00000000" w:rsidDel="00000000" w:rsidR="00000000">
            <w:rPr/>
            <w:instrText xml:space="preserve">PAGE</w:instrText>
          </w:r>
          <w:r w:rsidRPr="00000000" w:rsidDel="00000000" w:rsidR="00000000">
            <w:rPr/>
            <w:fldChar w:fldCharType="separate"/>
          </w:r>
          <w:r w:rsidRPr="00000000" w:rsidDel="00000000" w:rsidR="00000000">
            <w:rPr/>
            <w:fldChar w:fldCharType="end"/>
          </w:r>
        </w:p>
      </w:tc>
      <w:tc>
        <w:tcPr>
          <w:tcBorders>
            <w:top w:val="nil" w:color="000000" w:sz="0" w:space="0"/>
            <w:left w:val="nil" w:color="000000" w:sz="0" w:space="0"/>
            <w:bottom w:val="nil" w:color="000000" w:sz="0" w:space="0"/>
            <w:right w:val="nil" w:color="000000" w:sz="0" w:space="0"/>
          </w:tcBorders>
          <w:shd w:val="clear" w:fill="auto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Pr="00000000" w:rsidR="00000000" w:rsidDel="00000000" w:rsidP="00000000" w:rsidRDefault="00000000" w14:paraId="0000001C">
          <w:pPr>
            <w:jc w:val="right"/>
            <w:rPr/>
          </w:pPr>
          <w:r w:rsidRPr="00000000" w:rsidDel="00000000" w:rsidR="00000000">
            <w:rPr/>
            <w:drawing>
              <wp:inline distT="19050" distB="19050" distL="19050" distR="19050">
                <wp:extent cx="1242136" cy="276030"/>
                <wp:effectExtent l="0" t="0" r="0" b="0"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 l="0" t="0" r="0" b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2136" cy="2760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Pr="00000000" w:rsidR="00000000" w:rsidDel="00000000" w:rsidP="00000000" w:rsidRDefault="00000000" w14:paraId="0000001D">
    <w:pPr>
      <w:rPr>
        <w:sz w:val="2"/>
        <w:szCs w:val="2"/>
      </w:rPr>
    </w:pP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Pr="00000000" w:rsidR="00000000" w:rsidDel="00000000" w:rsidP="00000000" w:rsidRDefault="00000000" w14:paraId="0000001E">
    <w:pPr>
      <w:rPr/>
    </w:pP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Pr="00000000" w:rsidR="00000000" w:rsidDel="00000000" w:rsidP="00000000" w:rsidRDefault="00000000" w14:paraId="00000016">
    <w:pPr>
      <w:rPr>
        <w:rFonts w:ascii="Helvetica Neue" w:hAnsi="Helvetica Neue" w:eastAsia="Helvetica Neue" w:cs="Helvetica Neue"/>
        <w:b w:val="1"/>
        <w:color w:val="a31f34"/>
        <w:sz w:val="28"/>
        <w:szCs w:val="28"/>
      </w:rPr>
    </w:pPr>
    <w:r w:rsidRPr="00000000" w:rsidDel="00000000" w:rsidR="00000000">
      <w:rPr>
        <w:rFonts w:ascii="Helvetica Neue" w:hAnsi="Helvetica Neue" w:eastAsia="Helvetica Neue" w:cs="Helvetica Neue"/>
        <w:b w:val="1"/>
        <w:color w:val="a31f34"/>
        <w:sz w:val="28"/>
        <w:szCs w:val="28"/>
      </w:rPr>
      <w:drawing>
        <wp:inline distT="114300" distB="114300" distL="114300" distR="114300">
          <wp:extent cx="849575" cy="599123"/>
          <wp:effectExtent l="0" t="0" r="0" b="0"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0" t="0" r="0" b="0"/>
                  <a:stretch>
                    <a:fillRect/>
                  </a:stretch>
                </pic:blipFill>
                <pic:spPr>
                  <a:xfrm>
                    <a:off x="0" y="0"/>
                    <a:ext cx="849575" cy="599123"/>
                  </a:xfrm>
                  <a:prstGeom prst="rect"/>
                  <a:ln/>
                </pic:spPr>
              </pic:pic>
            </a:graphicData>
          </a:graphic>
        </wp:inline>
      </w:drawing>
    </w:r>
  </w:p>
  <w:p w:rsidRPr="00000000" w:rsidR="00000000" w:rsidDel="00000000" w:rsidP="00000000" w:rsidRDefault="00000000" w14:paraId="00000017">
    <w:pPr>
      <w:rPr/>
    </w:pP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Pr="00000000" w:rsidR="00000000" w:rsidDel="00000000" w:rsidP="00000000" w:rsidRDefault="00000000" w14:paraId="0000001F">
    <w:pPr>
      <w:rPr/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Helvetica Neue Light" w:hAnsi="Helvetica Neue Light" w:eastAsia="Helvetica Neue Light" w:cs="Helvetica Neue Light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line="240" w:lineRule="auto"/>
    </w:pPr>
    <w:rPr>
      <w:rFonts w:ascii="Helvetica Neue" w:hAnsi="Helvetica Neue" w:eastAsia="Helvetica Neue" w:cs="Helvetica Neue"/>
      <w:b w:val="1"/>
      <w:color w:val="a31f34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line="240" w:lineRule="auto"/>
    </w:pPr>
    <w:rPr>
      <w:rFonts w:ascii="Helvetica Neue" w:hAnsi="Helvetica Neue" w:eastAsia="Helvetica Neue" w:cs="Helvetica Neue"/>
      <w:b w:val="1"/>
      <w:color w:val="a31f34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line="240" w:lineRule="auto"/>
    </w:pPr>
    <w:rPr>
      <w:rFonts w:ascii="Helvetica Neue" w:hAnsi="Helvetica Neue" w:eastAsia="Helvetica Neue" w:cs="Helvetica Neue"/>
      <w:color w:val="a31f34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before="280" w:after="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before="240" w:after="8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before="240" w:after="8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line="240" w:lineRule="auto"/>
    </w:pPr>
    <w:rPr>
      <w:rFonts w:ascii="Helvetica Neue" w:hAnsi="Helvetica Neue" w:eastAsia="Helvetica Neue" w:cs="Helvetica Neue"/>
      <w:b w:val="1"/>
      <w:color w:val="a31f34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line="240" w:lineRule="auto"/>
    </w:pPr>
    <w:rPr>
      <w:rFonts w:ascii="Helvetica Neue Light" w:hAnsi="Helvetica Neue Light" w:eastAsia="Helvetica Neue Light" w:cs="Helvetica Neue Light"/>
      <w:color w:val="8a8b8c"/>
      <w:sz w:val="32"/>
      <w:szCs w:val="32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Relationship Id="rId5" Type="http://schemas.openxmlformats.org/officeDocument/2006/relationships/font" Target="fonts/HelveticaNeueLight-regular.ttf"/><Relationship Id="rId6" Type="http://schemas.openxmlformats.org/officeDocument/2006/relationships/font" Target="fonts/HelveticaNeueLight-bold.ttf"/><Relationship Id="rId7" Type="http://schemas.openxmlformats.org/officeDocument/2006/relationships/font" Target="fonts/HelveticaNeueLight-italic.ttf"/><Relationship Id="rId8" Type="http://schemas.openxmlformats.org/officeDocument/2006/relationships/font" Target="fonts/HelveticaNeueLight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